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19E5" w:rsidRPr="004D677C" w:rsidRDefault="002B19E5" w:rsidP="004D677C">
      <w:pPr>
        <w:spacing w:line="480" w:lineRule="auto"/>
        <w:ind w:firstLine="720"/>
        <w:rPr>
          <w:rFonts w:ascii="Times New Roman" w:hAnsi="Times New Roman" w:cs="Times New Roman"/>
          <w:sz w:val="24"/>
          <w:szCs w:val="24"/>
        </w:rPr>
      </w:pPr>
      <w:r w:rsidRPr="004D677C">
        <w:rPr>
          <w:rFonts w:ascii="Times New Roman" w:hAnsi="Times New Roman" w:cs="Times New Roman"/>
          <w:sz w:val="24"/>
          <w:szCs w:val="24"/>
        </w:rPr>
        <w:t>Hello, Ashley A. I applaud your thoughts on the topic regarding Bartleby the scrivenger. The passive resistance technique used by Bartleby is a form of non-violent protest. Bartleby's "I prefer not to" when he is instructed to copy documents by his employer makes the lawyer very angry (Verdicchio, 2018). After giving Bartleby some time to regain mental wellness, the lawyer finally realizes that that will not happen and fires him. After Bartleby is fired, he refuses to leave the office premises, and his employer relocates to a new office location. Despite firing Bartleby, the lawyer still goes back to check up on him because he feels that Bartleby is his responsibility.</w:t>
      </w:r>
    </w:p>
    <w:p w:rsidR="002B19E5" w:rsidRPr="004D677C" w:rsidRDefault="002B19E5" w:rsidP="004D677C">
      <w:pPr>
        <w:spacing w:line="480" w:lineRule="auto"/>
        <w:ind w:firstLine="720"/>
        <w:jc w:val="center"/>
        <w:rPr>
          <w:rFonts w:ascii="Times New Roman" w:hAnsi="Times New Roman" w:cs="Times New Roman"/>
          <w:b/>
          <w:bCs/>
          <w:sz w:val="24"/>
          <w:szCs w:val="24"/>
        </w:rPr>
      </w:pPr>
      <w:r w:rsidRPr="004D677C">
        <w:rPr>
          <w:rFonts w:ascii="Times New Roman" w:hAnsi="Times New Roman" w:cs="Times New Roman"/>
          <w:b/>
          <w:bCs/>
          <w:sz w:val="24"/>
          <w:szCs w:val="24"/>
        </w:rPr>
        <w:t>Reference</w:t>
      </w:r>
    </w:p>
    <w:p w:rsidR="002B19E5" w:rsidRPr="004D677C" w:rsidRDefault="002B19E5" w:rsidP="004D677C">
      <w:pPr>
        <w:spacing w:line="480" w:lineRule="auto"/>
        <w:ind w:left="720" w:hanging="720"/>
        <w:rPr>
          <w:rFonts w:ascii="Times New Roman" w:hAnsi="Times New Roman" w:cs="Times New Roman"/>
          <w:sz w:val="24"/>
          <w:szCs w:val="24"/>
        </w:rPr>
      </w:pPr>
      <w:r w:rsidRPr="004D677C">
        <w:rPr>
          <w:rFonts w:ascii="Times New Roman" w:hAnsi="Times New Roman" w:cs="Times New Roman"/>
          <w:sz w:val="24"/>
          <w:szCs w:val="24"/>
        </w:rPr>
        <w:t>Verdicchio, M. (2018). " Bartleby the Scrivener": An Allegory of Reading. Canadian Review of Comparative Literature/Revue Canadienne de Littérature Comparée, 45(3), 438-448.</w:t>
      </w:r>
      <w:bookmarkStart w:id="0" w:name="_GoBack"/>
      <w:bookmarkEnd w:id="0"/>
    </w:p>
    <w:p w:rsidR="002B19E5" w:rsidRDefault="002B19E5" w:rsidP="002B19E5"/>
    <w:p w:rsidR="002B19E5" w:rsidRDefault="002B19E5" w:rsidP="002B19E5"/>
    <w:sectPr w:rsidR="002B19E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90"/>
    <w:rsid w:val="002B19E5"/>
    <w:rsid w:val="004D677C"/>
    <w:rsid w:val="00591790"/>
    <w:rsid w:val="00C273F0"/>
    <w:rsid w:val="00E9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9F3C"/>
  <w15:chartTrackingRefBased/>
  <w15:docId w15:val="{0D64F816-88C4-453E-9D0F-1809D202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Njeri</cp:lastModifiedBy>
  <cp:revision>5</cp:revision>
  <dcterms:created xsi:type="dcterms:W3CDTF">2021-04-25T11:11:00Z</dcterms:created>
  <dcterms:modified xsi:type="dcterms:W3CDTF">2021-04-25T11:47:00Z</dcterms:modified>
</cp:coreProperties>
</file>